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B0" w:rsidRPr="003753B0" w:rsidRDefault="003753B0" w:rsidP="003753B0">
      <w:pPr>
        <w:rPr>
          <w:rFonts w:cs="Times New Roman"/>
          <w:b/>
          <w:bCs/>
          <w:color w:val="FF0000"/>
          <w:sz w:val="52"/>
          <w:szCs w:val="52"/>
          <w:u w:val="single"/>
        </w:rPr>
      </w:pPr>
      <w:bookmarkStart w:id="0" w:name="_GoBack"/>
      <w:bookmarkEnd w:id="0"/>
      <w:r w:rsidRPr="003753B0">
        <w:rPr>
          <w:rFonts w:cs="Times New Roman"/>
          <w:b/>
          <w:bCs/>
          <w:color w:val="FF0000"/>
          <w:sz w:val="52"/>
          <w:szCs w:val="52"/>
          <w:u w:val="single"/>
          <w:rtl/>
        </w:rPr>
        <w:t xml:space="preserve">מדיניות איכות, בטיחות, בריאות תעסוקתית והגנת הסביבה –אתר </w:t>
      </w:r>
      <w:proofErr w:type="spellStart"/>
      <w:r w:rsidRPr="003753B0">
        <w:rPr>
          <w:rFonts w:cs="Times New Roman"/>
          <w:b/>
          <w:bCs/>
          <w:color w:val="FF0000"/>
          <w:sz w:val="52"/>
          <w:szCs w:val="52"/>
          <w:u w:val="single"/>
          <w:rtl/>
        </w:rPr>
        <w:t>נילית</w:t>
      </w:r>
      <w:proofErr w:type="spellEnd"/>
      <w:r w:rsidRPr="003753B0">
        <w:rPr>
          <w:rFonts w:cs="Times New Roman"/>
          <w:b/>
          <w:bCs/>
          <w:color w:val="FF0000"/>
          <w:sz w:val="52"/>
          <w:szCs w:val="52"/>
          <w:u w:val="single"/>
          <w:rtl/>
        </w:rPr>
        <w:t xml:space="preserve"> </w:t>
      </w:r>
    </w:p>
    <w:p w:rsidR="003753B0" w:rsidRPr="003753B0" w:rsidRDefault="003753B0" w:rsidP="003753B0">
      <w:pPr>
        <w:rPr>
          <w:rFonts w:cs="Times New Roman"/>
          <w:b/>
          <w:bCs/>
          <w:sz w:val="30"/>
          <w:szCs w:val="30"/>
          <w:u w:val="single"/>
          <w:rtl/>
        </w:rPr>
      </w:pPr>
    </w:p>
    <w:p w:rsidR="003753B0" w:rsidRPr="003753B0" w:rsidRDefault="003753B0" w:rsidP="003753B0">
      <w:pPr>
        <w:numPr>
          <w:ilvl w:val="0"/>
          <w:numId w:val="1"/>
        </w:num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מחויבות לעמוד בדרישות החוק ודרישות הרשויות.</w:t>
      </w:r>
    </w:p>
    <w:p w:rsidR="003753B0" w:rsidRPr="003753B0" w:rsidRDefault="003753B0" w:rsidP="003753B0">
      <w:pPr>
        <w:numPr>
          <w:ilvl w:val="0"/>
          <w:numId w:val="1"/>
        </w:num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מחויבות לעמוד באיכות המוצרים לשביעות רצון הלקוחות.</w:t>
      </w:r>
    </w:p>
    <w:p w:rsidR="003753B0" w:rsidRPr="003753B0" w:rsidRDefault="003753B0" w:rsidP="003753B0">
      <w:pPr>
        <w:numPr>
          <w:ilvl w:val="0"/>
          <w:numId w:val="1"/>
        </w:num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מחויבות לפעול על פי התוכנית השנתית לשיפור מתמיד וחדשנות.</w:t>
      </w:r>
    </w:p>
    <w:p w:rsidR="003753B0" w:rsidRPr="003753B0" w:rsidRDefault="003753B0" w:rsidP="003753B0">
      <w:pPr>
        <w:numPr>
          <w:ilvl w:val="0"/>
          <w:numId w:val="1"/>
        </w:num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trike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מחויבות ליצור סביבת עבודה ראויה לעובדים במטרה למנוע תאונות עבודה, לשמור על בריאות העובדים</w:t>
      </w:r>
      <w:r w:rsidRPr="003753B0">
        <w:rPr>
          <w:rFonts w:ascii="Calibri" w:eastAsia="Calibri" w:hAnsi="Calibri" w:cs="Guttman Drogolin" w:hint="cs"/>
          <w:b/>
          <w:bCs/>
          <w:strike/>
          <w:sz w:val="32"/>
          <w:szCs w:val="32"/>
          <w:rtl/>
        </w:rPr>
        <w:t>.</w:t>
      </w:r>
    </w:p>
    <w:p w:rsidR="003753B0" w:rsidRPr="003753B0" w:rsidRDefault="003753B0" w:rsidP="003753B0">
      <w:pPr>
        <w:numPr>
          <w:ilvl w:val="0"/>
          <w:numId w:val="1"/>
        </w:numPr>
        <w:spacing w:after="160" w:line="259" w:lineRule="auto"/>
        <w:ind w:left="425"/>
        <w:contextualSpacing/>
        <w:rPr>
          <w:rFonts w:ascii="Calibri" w:eastAsia="Calibri" w:hAnsi="Calibri" w:cs="Cambria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 xml:space="preserve">מחויבות לזיהוי וניהול הסיכונים והזדמנויות באיכות, בבטיחות ובהגנת הסביבה והפחתתם לרמת "סיכון קביל". </w:t>
      </w:r>
    </w:p>
    <w:p w:rsidR="003753B0" w:rsidRPr="003753B0" w:rsidRDefault="003753B0" w:rsidP="003753B0">
      <w:pPr>
        <w:numPr>
          <w:ilvl w:val="0"/>
          <w:numId w:val="1"/>
        </w:num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מחויבות לשלב נושאי איכות, בטיחות והגנת הסביבה ביעדי הפעילות של החברה</w:t>
      </w:r>
    </w:p>
    <w:p w:rsidR="003753B0" w:rsidRPr="003753B0" w:rsidRDefault="003753B0" w:rsidP="003753B0">
      <w:pPr>
        <w:numPr>
          <w:ilvl w:val="0"/>
          <w:numId w:val="1"/>
        </w:num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מחויבות לקיים ערוצי תקשורת חופשיים וגלויים בין העובדים להנהלה,</w:t>
      </w:r>
    </w:p>
    <w:p w:rsidR="003753B0" w:rsidRPr="003753B0" w:rsidRDefault="003753B0" w:rsidP="003753B0">
      <w:p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לרבות עידוד העובדים על דיווח מפגעים וסיכונים.</w:t>
      </w:r>
    </w:p>
    <w:p w:rsidR="003753B0" w:rsidRPr="003753B0" w:rsidRDefault="003753B0" w:rsidP="003753B0">
      <w:pPr>
        <w:numPr>
          <w:ilvl w:val="0"/>
          <w:numId w:val="1"/>
        </w:num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 xml:space="preserve">מחויבות למנוע זיהום סביבתי </w:t>
      </w:r>
      <w:r w:rsidRPr="003753B0">
        <w:rPr>
          <w:rFonts w:ascii="Calibri" w:eastAsia="Calibri" w:hAnsi="Calibri" w:cs="Guttman Drogolin"/>
          <w:b/>
          <w:bCs/>
          <w:sz w:val="32"/>
          <w:szCs w:val="32"/>
          <w:rtl/>
        </w:rPr>
        <w:t>–</w:t>
      </w: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אוויר, מים, קרקע.</w:t>
      </w:r>
    </w:p>
    <w:p w:rsidR="003753B0" w:rsidRPr="003753B0" w:rsidRDefault="003753B0" w:rsidP="003753B0">
      <w:pPr>
        <w:numPr>
          <w:ilvl w:val="0"/>
          <w:numId w:val="1"/>
        </w:num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מחויבות לשמור על משאבי הטבע לכל אורך חיי המוצר.</w:t>
      </w:r>
    </w:p>
    <w:p w:rsidR="003753B0" w:rsidRPr="003753B0" w:rsidRDefault="003753B0" w:rsidP="003753B0">
      <w:pPr>
        <w:numPr>
          <w:ilvl w:val="0"/>
          <w:numId w:val="1"/>
        </w:numPr>
        <w:spacing w:after="160" w:line="276" w:lineRule="auto"/>
        <w:ind w:left="425"/>
        <w:contextualSpacing/>
        <w:rPr>
          <w:rFonts w:ascii="Calibri" w:eastAsia="Calibri" w:hAnsi="Calibri" w:cs="Guttman Drogolin"/>
          <w:b/>
          <w:bCs/>
          <w:sz w:val="32"/>
          <w:szCs w:val="32"/>
        </w:rPr>
      </w:pPr>
      <w:r w:rsidRPr="003753B0">
        <w:rPr>
          <w:rFonts w:ascii="Calibri" w:eastAsia="Calibri" w:hAnsi="Calibri" w:cs="Guttman Drogolin" w:hint="cs"/>
          <w:b/>
          <w:bCs/>
          <w:sz w:val="32"/>
          <w:szCs w:val="32"/>
          <w:rtl/>
        </w:rPr>
        <w:t>מחויבות להפעיל מערך חירום באתר ושיתוף פעולה עם גורמי חירום ארציים.</w:t>
      </w:r>
    </w:p>
    <w:p w:rsidR="003753B0" w:rsidRDefault="003753B0" w:rsidP="003753B0">
      <w:pPr>
        <w:spacing w:after="160" w:line="276" w:lineRule="auto"/>
        <w:contextualSpacing/>
        <w:rPr>
          <w:rFonts w:ascii="Calibri" w:eastAsia="Calibri" w:hAnsi="Calibri" w:cs="Guttman Drogolin"/>
          <w:b/>
          <w:bCs/>
          <w:sz w:val="28"/>
          <w:szCs w:val="28"/>
          <w:rtl/>
        </w:rPr>
      </w:pPr>
    </w:p>
    <w:p w:rsidR="00D357CB" w:rsidRDefault="003753B0" w:rsidP="003753B0">
      <w:pPr>
        <w:spacing w:after="160" w:line="276" w:lineRule="auto"/>
        <w:contextualSpacing/>
        <w:rPr>
          <w:rFonts w:hint="cs"/>
        </w:rPr>
      </w:pPr>
      <w:r w:rsidRPr="003753B0">
        <w:rPr>
          <w:rFonts w:ascii="David" w:eastAsia="Calibri" w:hAnsi="David"/>
          <w:b/>
          <w:bCs/>
          <w:color w:val="FF0000"/>
          <w:sz w:val="36"/>
          <w:szCs w:val="36"/>
          <w:rtl/>
        </w:rPr>
        <w:t xml:space="preserve">          טל אורן –מנהל אתר </w:t>
      </w:r>
      <w:proofErr w:type="spellStart"/>
      <w:r w:rsidRPr="003753B0">
        <w:rPr>
          <w:rFonts w:ascii="David" w:eastAsia="Calibri" w:hAnsi="David"/>
          <w:b/>
          <w:bCs/>
          <w:color w:val="FF0000"/>
          <w:sz w:val="36"/>
          <w:szCs w:val="36"/>
          <w:rtl/>
        </w:rPr>
        <w:t>נילית</w:t>
      </w:r>
      <w:proofErr w:type="spellEnd"/>
      <w:r w:rsidRPr="003753B0">
        <w:rPr>
          <w:rFonts w:ascii="David" w:eastAsia="Calibri" w:hAnsi="David"/>
          <w:b/>
          <w:bCs/>
          <w:color w:val="FF0000"/>
          <w:sz w:val="36"/>
          <w:szCs w:val="36"/>
          <w:rtl/>
        </w:rPr>
        <w:t xml:space="preserve">                                                                          נובמבר 2019</w:t>
      </w:r>
    </w:p>
    <w:sectPr w:rsidR="00D357CB" w:rsidSect="003753B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525F"/>
    <w:multiLevelType w:val="hybridMultilevel"/>
    <w:tmpl w:val="A72A640C"/>
    <w:lvl w:ilvl="0" w:tplc="A2CAC8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0"/>
    <w:rsid w:val="001050ED"/>
    <w:rsid w:val="003753B0"/>
    <w:rsid w:val="00D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15E0"/>
  <w15:chartTrackingRefBased/>
  <w15:docId w15:val="{F7F39061-9199-4AA6-A20C-466BB3F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B0"/>
    <w:pPr>
      <w:bidi/>
      <w:spacing w:after="0" w:line="240" w:lineRule="auto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Nilit LTD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Gengrinovitch</dc:creator>
  <cp:keywords/>
  <dc:description/>
  <cp:lastModifiedBy>Daniel Gengrinovitch</cp:lastModifiedBy>
  <cp:revision>1</cp:revision>
  <dcterms:created xsi:type="dcterms:W3CDTF">2019-11-19T07:01:00Z</dcterms:created>
  <dcterms:modified xsi:type="dcterms:W3CDTF">2019-11-19T07:06:00Z</dcterms:modified>
</cp:coreProperties>
</file>